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84A" w:rsidRPr="00C51AD4" w:rsidRDefault="00F8484A" w:rsidP="00F848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24"/>
          <w:szCs w:val="24"/>
        </w:rPr>
      </w:pPr>
      <w:r w:rsidRPr="00C51AD4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24"/>
          <w:szCs w:val="24"/>
        </w:rPr>
        <w:t>АННОТАЦИЯ К РАБОЧЕЙ ПРОГРАММЕ              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24"/>
          <w:szCs w:val="24"/>
        </w:rPr>
        <w:t>РОДНАЯ ЛИТЕРАТУРА (РУССКАЯ)» (10-11 КЛАССЫ)</w:t>
      </w:r>
    </w:p>
    <w:p w:rsidR="00F8484A" w:rsidRPr="00C51AD4" w:rsidRDefault="00F8484A" w:rsidP="00F8484A">
      <w:pPr>
        <w:shd w:val="clear" w:color="auto" w:fill="FFFFFF"/>
        <w:spacing w:after="160" w:line="240" w:lineRule="auto"/>
        <w:jc w:val="center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24"/>
          <w:szCs w:val="24"/>
        </w:rPr>
        <w:t> </w:t>
      </w:r>
    </w:p>
    <w:p w:rsidR="00F8484A" w:rsidRPr="00C51AD4" w:rsidRDefault="00F8484A" w:rsidP="00F848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</w:pPr>
      <w:proofErr w:type="gram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Рабочая программа по программе «Родная литература (русская)» для уровня среднего общего образования (10-11 классы) составлена в соответствии с требованиями Фед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е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рального закона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-3"/>
          <w:sz w:val="24"/>
          <w:szCs w:val="24"/>
        </w:rPr>
        <w:t>«Об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образовании в Российской Федерации» от 29.12.2012 № 273 – ФЗ, Федерального государственного стандарта среднего общего образования (приказ Мин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и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стерства образования и науки России от 17.05.2012 № 413 (ред. от 29.06.2017)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-3"/>
          <w:sz w:val="24"/>
          <w:szCs w:val="24"/>
        </w:rPr>
        <w:t>«Об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утверждении Федерального государственного образовательного стандарта среднего общего образования (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зарег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. в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МинюстеРоссии</w:t>
      </w:r>
      <w:proofErr w:type="spellEnd"/>
      <w:proofErr w:type="gram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proofErr w:type="gram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07.06.2012 № 24480), 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образованию/протокол от 28.06.2016 № 2/16 –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з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), приказом Министерства образования и науки Российской Федерации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-3"/>
          <w:sz w:val="24"/>
          <w:szCs w:val="24"/>
        </w:rPr>
        <w:t>«Об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а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чального общего, основного общего и среднего общего образования» № 1015 от 30.08.2013 г.; приказом Министерства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образованияи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науки</w:t>
      </w:r>
      <w:proofErr w:type="gram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proofErr w:type="gram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Российской Федерации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-3"/>
          <w:sz w:val="24"/>
          <w:szCs w:val="24"/>
        </w:rPr>
        <w:t>«Об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утверждении Федерального перечня учебников, рекомендованных к использованию при реализации имеющих государственную аккредитацию образовательных пр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о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грамм начального общего, основного общего, среднего общего образования» № 254 от 20.05.2020 г., Постановлением Главного государственного санитарного   врача   Росси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й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ской   Федерации  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-3"/>
          <w:sz w:val="24"/>
          <w:szCs w:val="24"/>
        </w:rPr>
        <w:t>«Об  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утверждении  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СанПиН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 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27"/>
          <w:sz w:val="24"/>
          <w:szCs w:val="24"/>
        </w:rPr>
        <w:t>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2.4.2.282110 «Санитарно-эпидемиологические требования к условиям и организации обучения в общеобразов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а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тельных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17"/>
          <w:sz w:val="24"/>
          <w:szCs w:val="24"/>
        </w:rPr>
        <w:t>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учреждениях»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13"/>
          <w:sz w:val="24"/>
          <w:szCs w:val="24"/>
        </w:rPr>
        <w:t>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№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16"/>
          <w:sz w:val="24"/>
          <w:szCs w:val="24"/>
        </w:rPr>
        <w:t>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189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20"/>
          <w:sz w:val="24"/>
          <w:szCs w:val="24"/>
        </w:rPr>
        <w:t>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от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18"/>
          <w:sz w:val="24"/>
          <w:szCs w:val="24"/>
        </w:rPr>
        <w:t>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29.12.2010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17"/>
          <w:sz w:val="24"/>
          <w:szCs w:val="24"/>
        </w:rPr>
        <w:t>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г..,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17"/>
          <w:sz w:val="24"/>
          <w:szCs w:val="24"/>
        </w:rPr>
        <w:t>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локальными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18"/>
          <w:sz w:val="24"/>
          <w:szCs w:val="24"/>
        </w:rPr>
        <w:t>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актами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pacing w:val="18"/>
          <w:sz w:val="24"/>
          <w:szCs w:val="24"/>
        </w:rPr>
        <w:t>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МОАУ «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Домбаро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в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ская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СОШ №1», учебно-методическим</w:t>
      </w:r>
      <w:proofErr w:type="gram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комплектом Лебедев Ю.В. Литература. 10 класс. Учебник для общеобразовательных организаций. Базовый уровень. В 2 частях/ Ю.В.Лебедев - М.: «Просвещение», 2020, и с учётом Примерной программы среднего   общего   образования  по  предмету  «Литература»  и является составной частью о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новной образовательной программы среднего общего  образования.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 </w:t>
      </w:r>
    </w:p>
    <w:p w:rsidR="00F8484A" w:rsidRPr="00C51AD4" w:rsidRDefault="00F8484A" w:rsidP="00F8484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Региональный компонент взят за основу программы учебного предмета «Родная литература (русская)».</w:t>
      </w:r>
    </w:p>
    <w:p w:rsidR="00F8484A" w:rsidRPr="00C51AD4" w:rsidRDefault="00F8484A" w:rsidP="00F8484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Объектами и задачами учебного предмета «Родная литература (русская)» могут быть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•культурные и литературные традиции родного края, жизнь и творчество писателей-земляков;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•</w:t>
      </w:r>
      <w:proofErr w:type="gram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духовный</w:t>
      </w:r>
      <w:proofErr w:type="gram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, нравственный и эстетический потенциала произведений писателей и поэтов курского края;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•анализ различных видов текстов;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•научно-исследовательская и проектная деятельность учащихся, основанная на фактах жизни и творчества курских писателей и поэтов;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•конкурсное движение школьников;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•работа с архивными материалами, источниками СМИ и Интернет- ресурсами;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•взаимодействие с музеями, информационно-культурными центрами, библиотеками и т.д.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 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            Примерная образовательная программа по родной литературе воплощает идею внедрения в практику российской школы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деятельностного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подхода к организации обуч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е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ния. Главным условием реализации данной идеи является уже заявленное в примерной образовательной программе основной школы принципиально новое осмысление результ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а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тов образовательной деятельности: освоение учебного предметного материала должно быть соотнесено с личностными и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метапредметными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результатами. Планируемые пре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д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метные результаты, определенные примерной программой по 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lastRenderedPageBreak/>
        <w:t>литературе, предполагают формирование читательской компетентности и знакомство с ресурсами для дальнейшего пополнения и углубления знаний о литературе.</w:t>
      </w:r>
    </w:p>
    <w:p w:rsidR="00F8484A" w:rsidRPr="00C51AD4" w:rsidRDefault="00F8484A" w:rsidP="00F8484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24"/>
          <w:szCs w:val="24"/>
        </w:rPr>
        <w:t>Цель 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учебного предмета «Родная литература (русская)»: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</w:t>
      </w:r>
    </w:p>
    <w:p w:rsidR="00F8484A" w:rsidRPr="00C51AD4" w:rsidRDefault="00F8484A" w:rsidP="00F8484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Стратегическая цель предмета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ь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ную ценность, как к средству самопознания и саморазвития.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24"/>
          <w:szCs w:val="24"/>
        </w:rPr>
        <w:t>   Родная литература (русская)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Изучение предметной области "Родная литература (русская)" должно обеспечить: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 -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сформированность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устойчивого интереса к чтению на родном языке как средству познания культуры своего народа и других культур, уважительного отношения к ним; прио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б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щение к литературному наследию и через него - к сокровищам отечественной и мировой культуры;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 -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сформированность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чувства причастности к свершениям, традициям своего народа и осознание исторической преемственности поколений;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-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сформированность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умений учитывать исторический, историко-культурный контекст и конте</w:t>
      </w:r>
      <w:proofErr w:type="gram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кст тв</w:t>
      </w:r>
      <w:proofErr w:type="gram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орчества писателя в процессе анализа художественного произведения;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-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ы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ваниях;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-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р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ном произведении, в единстве эмоционального личностного восприятия и интеллектуал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ь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ного понимания;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-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сформированность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представлений о системе стилей языка художественной литературы;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 -  для </w:t>
      </w:r>
      <w:proofErr w:type="gram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обучающихся</w:t>
      </w:r>
      <w:proofErr w:type="gram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с расстройствами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аутистического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спектра: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овладение основными стилистическими ресурсами лексики и фразеологии языка, осно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в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т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ных, письменных, альтернативных высказываний; стремление к возможности выразить собственные мысли и чувства, обозначить собственную позицию.</w:t>
      </w:r>
    </w:p>
    <w:p w:rsidR="00F8484A" w:rsidRPr="00C51AD4" w:rsidRDefault="00F8484A" w:rsidP="00F8484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"Родная литература" (углубленный уровень) - требования к предметным результ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а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там освоения углубленного курса литературы должны включать требования к результатам освоения базового курса и дополнительно отражать: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-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сформированность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умений лингвистического анализа текстов </w:t>
      </w:r>
      <w:proofErr w:type="gram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разной</w:t>
      </w:r>
      <w:proofErr w:type="gram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функционально-стилевой и жанровой принадлежности;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- владение различными приемами редактирования текстов;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- 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сформированность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умений проводить лингвистический эксперимент и использовать его результаты в процессе практической речевой деятельности;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- понимание и осмысленное использование понятийного аппарата современного литер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а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туроведения в процессе чтения и интерпретации художественных произведений;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- владение навыками комплексного филологического анализа художественного текста;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-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сформированность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представлений о системе стилей художественной литературы разных эпох, литературных направлениях, об индивидуальном авторском стиле;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- владение начальными навыками литературоведческого исследования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историк</w:t>
      </w:r>
      <w:proofErr w:type="gram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о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-</w:t>
      </w:r>
      <w:proofErr w:type="gram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и теор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е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тико-литературного характера;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- умение оценивать художественную интерпретацию литературного произведения в пр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о</w:t>
      </w: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изведениях других видов искусств (графика и живопись, театр, кино, музыка);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- </w:t>
      </w:r>
      <w:proofErr w:type="spellStart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>сформированность</w:t>
      </w:r>
      <w:proofErr w:type="spellEnd"/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t xml:space="preserve"> представлений о принципах основных направлений литературной критики.</w:t>
      </w:r>
    </w:p>
    <w:p w:rsidR="00F8484A" w:rsidRPr="00C51AD4" w:rsidRDefault="00F8484A" w:rsidP="00F848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32423" w:themeColor="accent2" w:themeShade="80"/>
          <w:sz w:val="21"/>
          <w:szCs w:val="21"/>
        </w:rPr>
      </w:pPr>
      <w:r w:rsidRPr="00C51AD4"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  <w:lastRenderedPageBreak/>
        <w:t> </w:t>
      </w:r>
    </w:p>
    <w:p w:rsidR="00000000" w:rsidRDefault="00F8484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F8484A"/>
    <w:rsid w:val="00F84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1033</Words>
  <Characters>5894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StantionSSE</dc:creator>
  <cp:keywords/>
  <dc:description/>
  <cp:lastModifiedBy>StantionSSE</cp:lastModifiedBy>
  <cp:revision>2</cp:revision>
  <dcterms:created xsi:type="dcterms:W3CDTF">2021-11-17T10:54:00Z</dcterms:created>
  <dcterms:modified xsi:type="dcterms:W3CDTF">2021-11-17T10:55:00Z</dcterms:modified>
</cp:coreProperties>
</file>